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简体" w:hAnsi="方正小标宋简体" w:eastAsia="方正小标宋简体" w:cs="方正小标宋简体"/>
          <w:sz w:val="84"/>
          <w:szCs w:val="84"/>
        </w:rPr>
      </w:pPr>
    </w:p>
    <w:p>
      <w:pPr>
        <w:jc w:val="center"/>
        <w:rPr>
          <w:rFonts w:ascii="方正小标宋简体" w:hAnsi="方正小标宋简体" w:eastAsia="方正小标宋简体" w:cs="方正小标宋简体"/>
          <w:sz w:val="84"/>
          <w:szCs w:val="84"/>
        </w:rPr>
      </w:pPr>
    </w:p>
    <w:p>
      <w:pPr>
        <w:jc w:val="center"/>
        <w:rPr>
          <w:rFonts w:ascii="方正小标宋简体" w:hAnsi="方正小标宋简体" w:eastAsia="方正小标宋简体" w:cs="方正小标宋简体"/>
          <w:sz w:val="84"/>
          <w:szCs w:val="84"/>
        </w:rPr>
      </w:pPr>
      <w:r>
        <w:rPr>
          <w:rFonts w:hint="eastAsia" w:ascii="方正小标宋简体" w:hAnsi="方正小标宋简体" w:eastAsia="方正小标宋简体" w:cs="方正小标宋简体"/>
          <w:sz w:val="84"/>
          <w:szCs w:val="84"/>
        </w:rPr>
        <w:t>2016年中国共产党蕉岭县纪律检查委员会部门预算</w:t>
      </w:r>
    </w:p>
    <w:p>
      <w:pPr>
        <w:jc w:val="center"/>
        <w:rPr>
          <w:rFonts w:ascii="方正小标宋简体" w:hAnsi="方正小标宋简体" w:eastAsia="方正小标宋简体" w:cs="方正小标宋简体"/>
          <w:sz w:val="84"/>
          <w:szCs w:val="84"/>
        </w:rPr>
      </w:pPr>
    </w:p>
    <w:p>
      <w:pPr>
        <w:jc w:val="center"/>
        <w:rPr>
          <w:rFonts w:ascii="方正小标宋简体" w:hAnsi="方正小标宋简体" w:eastAsia="方正小标宋简体" w:cs="方正小标宋简体"/>
          <w:sz w:val="84"/>
          <w:szCs w:val="84"/>
        </w:rPr>
      </w:pPr>
    </w:p>
    <w:p>
      <w:pPr>
        <w:jc w:val="center"/>
        <w:rPr>
          <w:rFonts w:ascii="黑体" w:hAnsi="黑体" w:eastAsia="黑体" w:cs="黑体"/>
          <w:sz w:val="44"/>
          <w:szCs w:val="44"/>
        </w:rPr>
      </w:pPr>
      <w:r>
        <w:rPr>
          <w:rFonts w:hint="eastAsia" w:ascii="方正小标宋简体" w:hAnsi="方正小标宋简体" w:eastAsia="方正小标宋简体" w:cs="方正小标宋简体"/>
          <w:sz w:val="84"/>
          <w:szCs w:val="84"/>
        </w:rPr>
        <w:br w:type="page"/>
      </w:r>
    </w:p>
    <w:p>
      <w:pPr>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目 录</w:t>
      </w:r>
    </w:p>
    <w:p>
      <w:pPr>
        <w:jc w:val="center"/>
        <w:rPr>
          <w:rFonts w:ascii="黑体" w:hAnsi="黑体" w:eastAsia="黑体" w:cs="黑体"/>
          <w:sz w:val="44"/>
          <w:szCs w:val="44"/>
        </w:rPr>
      </w:pPr>
    </w:p>
    <w:p>
      <w:pPr>
        <w:jc w:val="center"/>
        <w:rPr>
          <w:rFonts w:ascii="方正小标宋简体" w:hAnsi="方正小标宋简体" w:eastAsia="方正小标宋简体" w:cs="方正小标宋简体"/>
          <w:sz w:val="84"/>
          <w:szCs w:val="84"/>
        </w:rPr>
      </w:pPr>
      <w:r>
        <w:rPr>
          <w:rFonts w:hint="eastAsia" w:ascii="黑体" w:hAnsi="黑体" w:eastAsia="黑体" w:cs="黑体"/>
          <w:sz w:val="32"/>
          <w:szCs w:val="32"/>
        </w:rPr>
        <w:t>第一部分  2016年中国共产党蕉岭县纪律检查委员会概况</w:t>
      </w:r>
    </w:p>
    <w:p>
      <w:pPr>
        <w:numPr>
          <w:ilvl w:val="0"/>
          <w:numId w:val="1"/>
        </w:num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主要职责</w:t>
      </w:r>
    </w:p>
    <w:p>
      <w:pPr>
        <w:numPr>
          <w:ilvl w:val="0"/>
          <w:numId w:val="1"/>
        </w:num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机构设置</w:t>
      </w:r>
    </w:p>
    <w:p>
      <w:pPr>
        <w:ind w:firstLine="640" w:firstLineChars="200"/>
        <w:rPr>
          <w:rFonts w:ascii="黑体" w:hAnsi="黑体" w:eastAsia="黑体" w:cs="黑体"/>
          <w:sz w:val="32"/>
          <w:szCs w:val="32"/>
        </w:rPr>
      </w:pPr>
      <w:r>
        <w:rPr>
          <w:rFonts w:hint="eastAsia" w:ascii="黑体" w:hAnsi="黑体" w:eastAsia="黑体" w:cs="黑体"/>
          <w:sz w:val="32"/>
          <w:szCs w:val="32"/>
        </w:rPr>
        <w:t>第二部分 2016年部门预算表</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收支总体情况表</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收入总体情况表</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支出总体情况表</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财政拨款收支总体情况表</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一般公共预算支出情况表（按功能分类科目）</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一般公共预算基本支出情况表（按支出经济分类科目）</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一般公共预算项目支出情况表（按支出经济分类科目）</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一般公共预算安排的行政经费及“三公”经费预算表</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政府性基金预算支出情况表</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部门预算基本支出预算表</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部门预算项目支出及其他支出预算表</w:t>
      </w:r>
    </w:p>
    <w:p>
      <w:pPr>
        <w:ind w:firstLine="640" w:firstLineChars="200"/>
        <w:rPr>
          <w:rFonts w:ascii="黑体" w:hAnsi="黑体" w:eastAsia="黑体" w:cs="黑体"/>
          <w:sz w:val="32"/>
          <w:szCs w:val="32"/>
        </w:rPr>
      </w:pPr>
      <w:r>
        <w:rPr>
          <w:rFonts w:hint="eastAsia" w:ascii="黑体" w:hAnsi="黑体" w:eastAsia="黑体" w:cs="黑体"/>
          <w:sz w:val="32"/>
          <w:szCs w:val="32"/>
        </w:rPr>
        <w:t>第三部分 2016年部门预算情况说明</w:t>
      </w:r>
    </w:p>
    <w:p>
      <w:pPr>
        <w:ind w:firstLine="640" w:firstLineChars="200"/>
        <w:rPr>
          <w:rFonts w:ascii="黑体" w:hAnsi="黑体" w:eastAsia="黑体" w:cs="黑体"/>
          <w:sz w:val="32"/>
          <w:szCs w:val="32"/>
        </w:rPr>
      </w:pPr>
      <w:r>
        <w:rPr>
          <w:rFonts w:hint="eastAsia" w:ascii="黑体" w:hAnsi="黑体" w:eastAsia="黑体" w:cs="黑体"/>
          <w:sz w:val="32"/>
          <w:szCs w:val="32"/>
        </w:rPr>
        <w:t>第四部分  名词解释</w:t>
      </w:r>
    </w:p>
    <w:p>
      <w:pPr>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第一部分 2016年中国共产党蕉岭县纪律</w:t>
      </w:r>
    </w:p>
    <w:p>
      <w:pPr>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检查委员会概况</w:t>
      </w:r>
    </w:p>
    <w:p>
      <w:pPr>
        <w:rPr>
          <w:rFonts w:ascii="黑体" w:hAnsi="黑体" w:eastAsia="黑体" w:cs="黑体"/>
          <w:sz w:val="44"/>
          <w:szCs w:val="44"/>
        </w:rPr>
      </w:pPr>
    </w:p>
    <w:p>
      <w:pPr>
        <w:numPr>
          <w:ilvl w:val="0"/>
          <w:numId w:val="3"/>
        </w:numPr>
        <w:ind w:firstLine="640"/>
        <w:rPr>
          <w:rFonts w:ascii="黑体" w:hAnsi="黑体" w:eastAsia="黑体" w:cs="黑体"/>
          <w:sz w:val="32"/>
          <w:szCs w:val="32"/>
        </w:rPr>
      </w:pPr>
      <w:r>
        <w:rPr>
          <w:rFonts w:hint="eastAsia" w:ascii="黑体" w:hAnsi="黑体" w:eastAsia="黑体" w:cs="黑体"/>
          <w:sz w:val="32"/>
          <w:szCs w:val="32"/>
        </w:rPr>
        <w:t>主要职责（机构职能，可参照三定方案）</w:t>
      </w:r>
    </w:p>
    <w:p>
      <w:pPr>
        <w:ind w:firstLine="640" w:firstLineChars="200"/>
        <w:rPr>
          <w:rFonts w:ascii="仿宋_GB2312" w:eastAsia="仿宋_GB2312"/>
          <w:sz w:val="30"/>
          <w:szCs w:val="30"/>
        </w:rPr>
      </w:pPr>
      <w:r>
        <w:rPr>
          <w:rFonts w:hint="eastAsia" w:ascii="仿宋_GB2312" w:hAnsi="仿宋_GB2312" w:eastAsia="仿宋_GB2312" w:cs="仿宋_GB2312"/>
          <w:sz w:val="32"/>
          <w:szCs w:val="32"/>
        </w:rPr>
        <w:t>（一）</w:t>
      </w:r>
      <w:r>
        <w:rPr>
          <w:rFonts w:hint="eastAsia" w:ascii="仿宋_GB2312" w:hAnsi="Calibri" w:eastAsia="仿宋_GB2312" w:cs="Times New Roman"/>
          <w:sz w:val="30"/>
          <w:szCs w:val="30"/>
        </w:rPr>
        <w:t>根据《中共广东省委办公厅关于印发〈中共广东省纪律检查委员会机关、广东省监察厅（省预防腐败局）主要职责、内设机构和人员编制方案〉的通知》（粤委办〔2014〕37号）和《中共梅州市委办公室关于印发〈中共梅州市纪律检查委员会机关、梅州市监察局（市预防腐败局）主要职责、内设机构和人员编制方案〉的通知》（梅市办〔2015〕1号）精神，中共蕉岭县纪律检查委员会机关、蕉岭县监察局在县委、县政府和市纪委、市监察局（市预防腐败局）双重领导下开展工作。根据上述职责，</w:t>
      </w:r>
      <w:r>
        <w:rPr>
          <w:rFonts w:ascii="仿宋_GB2312" w:eastAsia="仿宋_GB2312"/>
          <w:sz w:val="30"/>
          <w:szCs w:val="30"/>
        </w:rPr>
        <w:t xml:space="preserve"> </w:t>
      </w:r>
    </w:p>
    <w:p>
      <w:pPr>
        <w:rPr>
          <w:rFonts w:ascii="黑体" w:hAnsi="黑体" w:eastAsia="黑体" w:cs="黑体"/>
          <w:sz w:val="32"/>
          <w:szCs w:val="32"/>
        </w:rPr>
      </w:pPr>
      <w:r>
        <w:rPr>
          <w:rFonts w:hint="eastAsia" w:ascii="黑体" w:hAnsi="黑体" w:eastAsia="黑体" w:cs="黑体"/>
          <w:sz w:val="32"/>
          <w:szCs w:val="32"/>
        </w:rPr>
        <w:t xml:space="preserve">    二、机构设置</w:t>
      </w:r>
    </w:p>
    <w:p>
      <w:pPr>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本部门无下属单位，部门预算为县本级预算。</w:t>
      </w:r>
    </w:p>
    <w:p>
      <w:pPr>
        <w:ind w:firstLine="640" w:firstLineChars="200"/>
        <w:rPr>
          <w:rFonts w:ascii="仿宋_GB2312" w:hAnsi="Calibri" w:eastAsia="仿宋_GB2312" w:cs="Times New Roman"/>
          <w:sz w:val="30"/>
          <w:szCs w:val="30"/>
        </w:rPr>
      </w:pPr>
      <w:r>
        <w:rPr>
          <w:rFonts w:hint="eastAsia" w:ascii="仿宋_GB2312" w:hAnsi="仿宋_GB2312" w:eastAsia="仿宋_GB2312" w:cs="仿宋_GB2312"/>
          <w:sz w:val="32"/>
          <w:szCs w:val="32"/>
        </w:rPr>
        <w:t>本部门内设机构、人员构成情况：</w:t>
      </w:r>
      <w:r>
        <w:rPr>
          <w:rFonts w:hint="eastAsia" w:ascii="仿宋_GB2312" w:hAnsi="Calibri" w:eastAsia="仿宋_GB2312" w:cs="Times New Roman"/>
          <w:sz w:val="30"/>
          <w:szCs w:val="30"/>
        </w:rPr>
        <w:t>县纪委机关、县监察局设10个室</w:t>
      </w:r>
      <w:r>
        <w:rPr>
          <w:rFonts w:hint="eastAsia" w:ascii="仿宋_GB2312" w:eastAsia="仿宋_GB2312"/>
          <w:sz w:val="30"/>
          <w:szCs w:val="30"/>
        </w:rPr>
        <w:t>，</w:t>
      </w:r>
      <w:r>
        <w:rPr>
          <w:rFonts w:hint="eastAsia" w:ascii="仿宋_GB2312" w:hAnsi="Calibri" w:eastAsia="仿宋_GB2312" w:cs="Times New Roman"/>
          <w:sz w:val="30"/>
          <w:szCs w:val="30"/>
        </w:rPr>
        <w:t>县纪委机关、县监察局行政编制19名，其中：县纪委常委7名（含书记1名，副书记2名）；县监察局局长1名（由县纪委副书记兼任）、副局长2名（由县纪委常委兼任）；室主任10名，副主任3名（正股职）。</w:t>
      </w:r>
    </w:p>
    <w:p>
      <w:pPr>
        <w:ind w:firstLine="600" w:firstLineChars="200"/>
        <w:rPr>
          <w:rFonts w:ascii="仿宋_GB2312" w:hAnsi="Calibri" w:eastAsia="仿宋_GB2312" w:cs="Times New Roman"/>
          <w:sz w:val="30"/>
          <w:szCs w:val="30"/>
        </w:rPr>
      </w:pPr>
      <w:r>
        <w:rPr>
          <w:rFonts w:hint="eastAsia" w:ascii="仿宋_GB2312" w:hAnsi="Calibri" w:eastAsia="仿宋_GB2312" w:cs="Times New Roman"/>
          <w:sz w:val="30"/>
          <w:szCs w:val="30"/>
        </w:rPr>
        <w:t>后勤服务人员数5名。行政离退休11名。</w:t>
      </w:r>
    </w:p>
    <w:p>
      <w:pPr>
        <w:numPr>
          <w:ilvl w:val="0"/>
          <w:numId w:val="4"/>
        </w:numPr>
        <w:ind w:firstLine="640"/>
        <w:rPr>
          <w:rFonts w:ascii="黑体" w:hAnsi="黑体" w:eastAsia="黑体" w:cs="黑体"/>
          <w:sz w:val="44"/>
          <w:szCs w:val="44"/>
        </w:rPr>
        <w:sectPr>
          <w:pgSz w:w="11906" w:h="16838"/>
          <w:pgMar w:top="1440" w:right="1800" w:bottom="1440" w:left="1800" w:header="851" w:footer="992" w:gutter="0"/>
          <w:cols w:space="425" w:num="1"/>
          <w:docGrid w:type="lines" w:linePitch="312" w:charSpace="0"/>
        </w:sectPr>
      </w:pPr>
    </w:p>
    <w:p>
      <w:pPr>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第二部分  2016年部门预算表</w:t>
      </w:r>
    </w:p>
    <w:p>
      <w:pPr>
        <w:rPr>
          <w:rFonts w:ascii="方正小标宋简体" w:hAnsi="方正小标宋简体" w:eastAsia="方正小标宋简体" w:cs="方正小标宋简体"/>
          <w:sz w:val="44"/>
          <w:szCs w:val="44"/>
        </w:rPr>
      </w:pPr>
      <w:r>
        <w:br w:type="page"/>
      </w:r>
      <w:r>
        <w:rPr>
          <w:rFonts w:hint="eastAsia"/>
        </w:rPr>
        <w:t xml:space="preserve">     </w:t>
      </w:r>
      <w:r>
        <w:rPr>
          <w:rFonts w:hint="eastAsia" w:ascii="方正小标宋简体" w:hAnsi="方正小标宋简体" w:eastAsia="方正小标宋简体" w:cs="方正小标宋简体"/>
          <w:sz w:val="44"/>
          <w:szCs w:val="44"/>
        </w:rPr>
        <w:t>第三部分  2016年部门预算情况说明</w:t>
      </w:r>
    </w:p>
    <w:p>
      <w:pPr>
        <w:numPr>
          <w:ilvl w:val="0"/>
          <w:numId w:val="5"/>
        </w:numPr>
        <w:ind w:firstLine="640" w:firstLineChars="200"/>
        <w:rPr>
          <w:rFonts w:ascii="黑体" w:hAnsi="黑体" w:eastAsia="黑体" w:cs="黑体"/>
          <w:sz w:val="32"/>
          <w:szCs w:val="32"/>
        </w:rPr>
      </w:pPr>
      <w:r>
        <w:rPr>
          <w:rFonts w:hint="eastAsia" w:ascii="黑体" w:hAnsi="黑体" w:eastAsia="黑体" w:cs="黑体"/>
          <w:sz w:val="32"/>
          <w:szCs w:val="32"/>
        </w:rPr>
        <w:t>部门预算收支增减变化情况</w:t>
      </w:r>
    </w:p>
    <w:p>
      <w:p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2016年本部门收入预算352.39万元，比上年增加142万元，增长67.64%，主要原因是工资改革、新增人员2人、新增加公务交通补贴；支出预算352.39万元，比上年增加142万元，增长67.64%，主要原因是工资改革、新增人员2人、新增加公务交通补贴</w:t>
      </w:r>
    </w:p>
    <w:p>
      <w:pPr>
        <w:ind w:firstLine="640"/>
        <w:rPr>
          <w:rFonts w:ascii="黑体" w:hAnsi="黑体" w:eastAsia="黑体" w:cs="黑体"/>
          <w:sz w:val="32"/>
          <w:szCs w:val="32"/>
        </w:rPr>
      </w:pPr>
      <w:r>
        <w:rPr>
          <w:rFonts w:hint="eastAsia" w:ascii="黑体" w:hAnsi="黑体" w:eastAsia="黑体" w:cs="黑体"/>
          <w:sz w:val="32"/>
          <w:szCs w:val="32"/>
          <w:lang w:eastAsia="zh-CN"/>
        </w:rPr>
        <w:t>二、</w:t>
      </w:r>
      <w:r>
        <w:rPr>
          <w:rFonts w:hint="eastAsia" w:ascii="黑体" w:hAnsi="黑体" w:eastAsia="黑体" w:cs="黑体"/>
          <w:sz w:val="32"/>
          <w:szCs w:val="32"/>
        </w:rPr>
        <w:t>“三公”经费安排情况说明</w:t>
      </w:r>
    </w:p>
    <w:p>
      <w:p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2016年本部门“三公”经费预算安排21.2万元，比上年减少0.1万元，下降0.47%，主要原因是减少公务接待经费。其中：因公出国（境）费0万元与上年保持不变；公务用车购置及运行费11.2万元，比上年增加1.1万元，增长10.89%，主要原因是办案业务量增加，增加公务出行；公务接待费10万元，比上年减少1.2万元，下降10.71%，主要原因是厉行节约减少公务接待开支。</w:t>
      </w:r>
    </w:p>
    <w:p>
      <w:pPr>
        <w:numPr>
          <w:numId w:val="0"/>
        </w:numPr>
        <w:ind w:firstLine="640" w:firstLineChars="200"/>
        <w:rPr>
          <w:rFonts w:ascii="黑体" w:hAnsi="黑体" w:eastAsia="黑体" w:cs="黑体"/>
          <w:sz w:val="32"/>
          <w:szCs w:val="32"/>
        </w:rPr>
      </w:pPr>
      <w:r>
        <w:rPr>
          <w:rFonts w:hint="eastAsia" w:ascii="黑体" w:hAnsi="黑体" w:eastAsia="黑体" w:cs="黑体"/>
          <w:sz w:val="32"/>
          <w:szCs w:val="32"/>
          <w:lang w:eastAsia="zh-CN"/>
        </w:rPr>
        <w:t>三、</w:t>
      </w:r>
      <w:r>
        <w:rPr>
          <w:rFonts w:hint="eastAsia" w:ascii="黑体" w:hAnsi="黑体" w:eastAsia="黑体" w:cs="黑体"/>
          <w:sz w:val="32"/>
          <w:szCs w:val="32"/>
        </w:rPr>
        <w:t>机关运行经费安排情况</w:t>
      </w:r>
    </w:p>
    <w:p>
      <w:pPr>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2016年，本部门机关运行经费安排27.52万元，比上年增加9.06万元，增长49.08%，主要原因是2016年提高人均公用经费标准、物价上涨机关运行成本增加等。其中：办公费16.08万元，，福利费0.24万元，公务用车运行维护费11.2万元等。</w:t>
      </w:r>
    </w:p>
    <w:p>
      <w:pPr>
        <w:numPr>
          <w:numId w:val="0"/>
        </w:numPr>
        <w:ind w:firstLine="640" w:firstLineChars="200"/>
        <w:rPr>
          <w:rFonts w:ascii="黑体" w:hAnsi="黑体" w:eastAsia="黑体" w:cs="黑体"/>
          <w:sz w:val="32"/>
          <w:szCs w:val="32"/>
        </w:rPr>
      </w:pPr>
      <w:r>
        <w:rPr>
          <w:rFonts w:hint="eastAsia" w:ascii="黑体" w:hAnsi="黑体" w:eastAsia="黑体" w:cs="黑体"/>
          <w:sz w:val="32"/>
          <w:szCs w:val="32"/>
          <w:lang w:eastAsia="zh-CN"/>
        </w:rPr>
        <w:t>四、</w:t>
      </w:r>
      <w:r>
        <w:rPr>
          <w:rFonts w:hint="eastAsia" w:ascii="黑体" w:hAnsi="黑体" w:eastAsia="黑体" w:cs="黑体"/>
          <w:sz w:val="32"/>
          <w:szCs w:val="32"/>
        </w:rPr>
        <w:t>政府采购情况</w:t>
      </w:r>
    </w:p>
    <w:p>
      <w:pPr>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2016年本部门政府采购安排0万元，其中：货物类采购预算0万元，工程类采购预算0万元，服务类采购预算0万元等。</w:t>
      </w:r>
    </w:p>
    <w:p>
      <w:pPr>
        <w:numPr>
          <w:numId w:val="0"/>
        </w:numPr>
        <w:ind w:firstLine="640" w:firstLineChars="200"/>
        <w:rPr>
          <w:rFonts w:ascii="黑体" w:hAnsi="黑体" w:eastAsia="黑体" w:cs="黑体"/>
          <w:sz w:val="32"/>
          <w:szCs w:val="32"/>
        </w:rPr>
      </w:pPr>
      <w:r>
        <w:rPr>
          <w:rFonts w:hint="eastAsia" w:ascii="黑体" w:hAnsi="黑体" w:eastAsia="黑体" w:cs="黑体"/>
          <w:sz w:val="32"/>
          <w:szCs w:val="32"/>
          <w:lang w:eastAsia="zh-CN"/>
        </w:rPr>
        <w:t>五、</w:t>
      </w:r>
      <w:r>
        <w:rPr>
          <w:rFonts w:hint="eastAsia" w:ascii="黑体" w:hAnsi="黑体" w:eastAsia="黑体" w:cs="黑体"/>
          <w:sz w:val="32"/>
          <w:szCs w:val="32"/>
        </w:rPr>
        <w:t>国有资产占有使用情况</w:t>
      </w:r>
    </w:p>
    <w:p>
      <w:p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截至2016年1月1日，本部门占有使用国有资产总体情况为：总资产71.66万元，分布构成情况为：车辆22万元，其他资产49.66万元，主要实物资产数据情况为：1辆公务用车，其余为电脑、打印机、办公桌椅等，资产变动情况为：与上年相比无增减。</w:t>
      </w:r>
    </w:p>
    <w:p>
      <w:pPr>
        <w:numPr>
          <w:numId w:val="0"/>
        </w:numPr>
        <w:ind w:firstLine="640" w:firstLineChars="200"/>
        <w:rPr>
          <w:rFonts w:ascii="黑体" w:hAnsi="黑体" w:eastAsia="黑体" w:cs="黑体"/>
          <w:sz w:val="32"/>
          <w:szCs w:val="32"/>
        </w:rPr>
      </w:pPr>
      <w:r>
        <w:rPr>
          <w:rFonts w:hint="eastAsia" w:ascii="黑体" w:hAnsi="黑体" w:eastAsia="黑体" w:cs="黑体"/>
          <w:sz w:val="32"/>
          <w:szCs w:val="32"/>
          <w:lang w:eastAsia="zh-CN"/>
        </w:rPr>
        <w:t>六、</w:t>
      </w:r>
      <w:bookmarkStart w:id="0" w:name="_GoBack"/>
      <w:bookmarkEnd w:id="0"/>
      <w:r>
        <w:rPr>
          <w:rFonts w:hint="eastAsia" w:ascii="黑体" w:hAnsi="黑体" w:eastAsia="黑体" w:cs="黑体"/>
          <w:sz w:val="32"/>
          <w:szCs w:val="32"/>
        </w:rPr>
        <w:t>预算绩效信息公开情况</w:t>
      </w:r>
    </w:p>
    <w:p>
      <w:p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2016年，本部门无推进预算绩效信息公开的情况。</w:t>
      </w:r>
    </w:p>
    <w:p>
      <w:pPr>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第四部分  名词解释</w:t>
      </w:r>
    </w:p>
    <w:p>
      <w:pPr>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（一）</w:t>
      </w:r>
      <w:r>
        <w:rPr>
          <w:rFonts w:hint="eastAsia" w:ascii="仿宋" w:hAnsi="仿宋" w:eastAsia="仿宋" w:cs="仿宋_GB2312"/>
          <w:b/>
          <w:kern w:val="0"/>
          <w:sz w:val="32"/>
          <w:szCs w:val="32"/>
        </w:rPr>
        <w:t>一般公共预算拨款收入：</w:t>
      </w:r>
      <w:r>
        <w:rPr>
          <w:rFonts w:hint="eastAsia" w:ascii="仿宋" w:hAnsi="仿宋" w:eastAsia="仿宋" w:cs="仿宋_GB2312"/>
          <w:kern w:val="0"/>
          <w:sz w:val="32"/>
          <w:szCs w:val="32"/>
        </w:rPr>
        <w:t>指县财政当年拨付的资金。</w:t>
      </w:r>
    </w:p>
    <w:p>
      <w:pPr>
        <w:autoSpaceDE w:val="0"/>
        <w:autoSpaceDN w:val="0"/>
        <w:adjustRightInd w:val="0"/>
        <w:spacing w:line="520" w:lineRule="exact"/>
        <w:ind w:firstLine="640" w:firstLineChars="200"/>
        <w:rPr>
          <w:rFonts w:ascii="仿宋" w:hAnsi="仿宋" w:eastAsia="仿宋" w:cs="仿宋_GB2312"/>
          <w:kern w:val="0"/>
          <w:sz w:val="32"/>
          <w:szCs w:val="32"/>
        </w:rPr>
      </w:pPr>
      <w:r>
        <w:rPr>
          <w:rFonts w:hint="eastAsia" w:ascii="仿宋_GB2312" w:hAnsi="仿宋_GB2312" w:eastAsia="仿宋_GB2312" w:cs="仿宋_GB2312"/>
          <w:sz w:val="32"/>
          <w:szCs w:val="32"/>
        </w:rPr>
        <w:t>（二）</w:t>
      </w:r>
      <w:r>
        <w:rPr>
          <w:rFonts w:hint="eastAsia" w:ascii="仿宋" w:hAnsi="仿宋" w:eastAsia="仿宋" w:cs="仿宋_GB2312"/>
          <w:b/>
          <w:kern w:val="0"/>
          <w:sz w:val="32"/>
          <w:szCs w:val="32"/>
        </w:rPr>
        <w:t>社会保障和就业（类）行政事业单位离退休（款）归口管理的行政（事业）单位离退休（项）：</w:t>
      </w:r>
      <w:r>
        <w:rPr>
          <w:rFonts w:hint="eastAsia" w:ascii="仿宋" w:hAnsi="仿宋" w:eastAsia="仿宋" w:cs="仿宋_GB2312"/>
          <w:kern w:val="0"/>
          <w:sz w:val="32"/>
          <w:szCs w:val="32"/>
        </w:rPr>
        <w:t>指离退休人员经费的支出。</w:t>
      </w:r>
    </w:p>
    <w:p>
      <w:pPr>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（三）</w:t>
      </w:r>
      <w:r>
        <w:rPr>
          <w:rFonts w:hint="eastAsia" w:ascii="仿宋" w:hAnsi="仿宋" w:eastAsia="仿宋" w:cs="仿宋_GB2312"/>
          <w:b/>
          <w:kern w:val="0"/>
          <w:sz w:val="32"/>
          <w:szCs w:val="32"/>
        </w:rPr>
        <w:t>医疗卫生与计划生育支出（类）行政事业单位医疗（款）行政（事业）单位医疗（项）：</w:t>
      </w:r>
      <w:r>
        <w:rPr>
          <w:rFonts w:hint="eastAsia" w:ascii="仿宋" w:hAnsi="仿宋" w:eastAsia="仿宋" w:cs="仿宋_GB2312"/>
          <w:kern w:val="0"/>
          <w:sz w:val="32"/>
          <w:szCs w:val="32"/>
        </w:rPr>
        <w:t>财政部门安集中安排的行政（事业）单位基本医疗保险缴费经费，未参加医疗保险的行政单位的公费医疗经费，按国家规定享受离休人员、红军老战士待遇人员的医疗经费。</w:t>
      </w:r>
    </w:p>
    <w:p>
      <w:pPr>
        <w:autoSpaceDE w:val="0"/>
        <w:autoSpaceDN w:val="0"/>
        <w:adjustRightInd w:val="0"/>
        <w:spacing w:line="520" w:lineRule="exact"/>
        <w:ind w:firstLine="640" w:firstLineChars="200"/>
        <w:rPr>
          <w:rFonts w:ascii="仿宋" w:hAnsi="仿宋" w:eastAsia="仿宋" w:cs="仿宋_GB2312"/>
          <w:kern w:val="0"/>
          <w:sz w:val="32"/>
          <w:szCs w:val="32"/>
        </w:rPr>
      </w:pPr>
      <w:r>
        <w:rPr>
          <w:rFonts w:hint="eastAsia" w:ascii="仿宋_GB2312" w:hAnsi="仿宋_GB2312" w:eastAsia="仿宋_GB2312" w:cs="仿宋_GB2312"/>
          <w:sz w:val="32"/>
          <w:szCs w:val="32"/>
        </w:rPr>
        <w:t>（四）</w:t>
      </w:r>
      <w:r>
        <w:rPr>
          <w:rFonts w:hint="eastAsia" w:ascii="仿宋" w:hAnsi="仿宋" w:eastAsia="仿宋" w:cs="仿宋_GB2312"/>
          <w:b/>
          <w:kern w:val="0"/>
          <w:sz w:val="32"/>
          <w:szCs w:val="32"/>
        </w:rPr>
        <w:t>住房保障（类）住房改革支出（款）住房公积金（项）：</w:t>
      </w:r>
      <w:r>
        <w:rPr>
          <w:rFonts w:hint="eastAsia" w:ascii="仿宋" w:hAnsi="仿宋" w:eastAsia="仿宋" w:cs="仿宋_GB2312"/>
          <w:kern w:val="0"/>
          <w:sz w:val="32"/>
          <w:szCs w:val="32"/>
        </w:rPr>
        <w:t>指按照《住房公积金管理条例》的规定，由单位及其在职职工缴存的长期住房储金。行政单位缴存基数包括国家统一规定的公务员职务工资、级别工资、机关工人岗位工资和技术等级（职务）工资及规范后发放的工作性津贴、生活性补贴等；事业单位缴存基数包括国家统一规定的岗位工资、薪级工资及特殊岗位津贴等。</w:t>
      </w:r>
    </w:p>
    <w:p>
      <w:pPr>
        <w:autoSpaceDE w:val="0"/>
        <w:autoSpaceDN w:val="0"/>
        <w:adjustRightInd w:val="0"/>
        <w:spacing w:line="520" w:lineRule="exact"/>
        <w:ind w:firstLine="640" w:firstLineChars="200"/>
        <w:rPr>
          <w:rFonts w:ascii="仿宋" w:hAnsi="仿宋" w:eastAsia="仿宋" w:cs="仿宋_GB2312"/>
          <w:kern w:val="0"/>
          <w:sz w:val="32"/>
          <w:szCs w:val="32"/>
        </w:rPr>
      </w:pPr>
      <w:r>
        <w:rPr>
          <w:rFonts w:hint="eastAsia" w:ascii="仿宋_GB2312" w:hAnsi="仿宋_GB2312" w:eastAsia="仿宋_GB2312" w:cs="仿宋_GB2312"/>
          <w:sz w:val="32"/>
          <w:szCs w:val="32"/>
        </w:rPr>
        <w:t>（五）</w:t>
      </w:r>
      <w:r>
        <w:rPr>
          <w:rFonts w:hint="eastAsia" w:ascii="仿宋" w:hAnsi="仿宋" w:eastAsia="仿宋" w:cs="仿宋_GB2312"/>
          <w:b/>
          <w:kern w:val="0"/>
          <w:sz w:val="32"/>
          <w:szCs w:val="32"/>
        </w:rPr>
        <w:t>基本支出：</w:t>
      </w:r>
      <w:r>
        <w:rPr>
          <w:rFonts w:hint="eastAsia" w:ascii="仿宋" w:hAnsi="仿宋" w:eastAsia="仿宋" w:cs="仿宋_GB2312"/>
          <w:kern w:val="0"/>
          <w:sz w:val="32"/>
          <w:szCs w:val="32"/>
        </w:rPr>
        <w:t>指为保障机构正常运转、完成日常工作任务而发生的人员支出和公用支出。</w:t>
      </w:r>
    </w:p>
    <w:p>
      <w:pPr>
        <w:rPr>
          <w:rFonts w:ascii="仿宋" w:hAnsi="仿宋" w:eastAsia="仿宋" w:cs="仿宋_GB2312"/>
          <w:kern w:val="0"/>
          <w:sz w:val="32"/>
          <w:szCs w:val="32"/>
        </w:rPr>
      </w:pPr>
      <w:r>
        <w:rPr>
          <w:rFonts w:hint="eastAsia" w:ascii="仿宋_GB2312" w:hAnsi="仿宋_GB2312" w:eastAsia="仿宋_GB2312" w:cs="仿宋_GB2312"/>
          <w:sz w:val="32"/>
          <w:szCs w:val="32"/>
        </w:rPr>
        <w:t xml:space="preserve">    （六）</w:t>
      </w:r>
      <w:r>
        <w:rPr>
          <w:rFonts w:hint="eastAsia" w:ascii="仿宋" w:hAnsi="仿宋" w:eastAsia="仿宋" w:cs="仿宋_GB2312"/>
          <w:b/>
          <w:kern w:val="0"/>
          <w:sz w:val="32"/>
          <w:szCs w:val="32"/>
        </w:rPr>
        <w:t>项目支出：</w:t>
      </w:r>
      <w:r>
        <w:rPr>
          <w:rFonts w:hint="eastAsia" w:ascii="仿宋" w:hAnsi="仿宋" w:eastAsia="仿宋" w:cs="仿宋_GB2312"/>
          <w:kern w:val="0"/>
          <w:sz w:val="32"/>
          <w:szCs w:val="32"/>
        </w:rPr>
        <w:t>指在基本支出之外为完成特定行政任务和事业发展目标所发生的支出。</w:t>
      </w:r>
    </w:p>
    <w:p>
      <w:pPr>
        <w:autoSpaceDE w:val="0"/>
        <w:autoSpaceDN w:val="0"/>
        <w:adjustRightInd w:val="0"/>
        <w:spacing w:line="520" w:lineRule="exact"/>
        <w:ind w:firstLine="640" w:firstLineChars="200"/>
        <w:rPr>
          <w:rFonts w:ascii="仿宋" w:hAnsi="仿宋" w:eastAsia="仿宋" w:cs="仿宋_GB2312"/>
          <w:kern w:val="0"/>
          <w:sz w:val="32"/>
          <w:szCs w:val="32"/>
        </w:rPr>
      </w:pPr>
      <w:r>
        <w:rPr>
          <w:rFonts w:hint="eastAsia" w:ascii="仿宋_GB2312" w:hAnsi="仿宋_GB2312" w:eastAsia="仿宋_GB2312" w:cs="仿宋_GB2312"/>
          <w:sz w:val="32"/>
          <w:szCs w:val="32"/>
        </w:rPr>
        <w:t>（七）</w:t>
      </w:r>
      <w:r>
        <w:rPr>
          <w:rFonts w:hint="eastAsia" w:ascii="仿宋" w:hAnsi="仿宋" w:eastAsia="仿宋" w:cs="仿宋_GB2312"/>
          <w:b/>
          <w:kern w:val="0"/>
          <w:sz w:val="32"/>
          <w:szCs w:val="32"/>
        </w:rPr>
        <w:t>“三公”经费：</w:t>
      </w:r>
      <w:r>
        <w:rPr>
          <w:rFonts w:hint="eastAsia" w:ascii="仿宋" w:hAnsi="仿宋" w:eastAsia="仿宋" w:cs="仿宋_GB2312"/>
          <w:kern w:val="0"/>
          <w:sz w:val="32"/>
          <w:szCs w:val="32"/>
        </w:rPr>
        <w:t>纳入财政预决算管理的“三公”经费，是指用财政拨款安排因公出国（境）费、公务用车购置及运行费及公务接待费。其中，因公出国（境）费反映单位公务出国出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支出。</w:t>
      </w:r>
    </w:p>
    <w:p>
      <w:pPr>
        <w:rPr>
          <w:rFonts w:hint="eastAsia" w:ascii="仿宋" w:hAnsi="仿宋" w:eastAsia="仿宋" w:cs="仿宋_GB2312"/>
          <w:kern w:val="0"/>
          <w:sz w:val="32"/>
          <w:szCs w:val="32"/>
        </w:rPr>
      </w:pPr>
      <w:r>
        <w:rPr>
          <w:rFonts w:hint="eastAsia" w:ascii="仿宋_GB2312" w:hAnsi="仿宋_GB2312" w:eastAsia="仿宋_GB2312" w:cs="仿宋_GB2312"/>
          <w:sz w:val="32"/>
          <w:szCs w:val="32"/>
        </w:rPr>
        <w:t xml:space="preserve">    （八）</w:t>
      </w:r>
      <w:r>
        <w:rPr>
          <w:rFonts w:hint="eastAsia" w:ascii="仿宋" w:hAnsi="仿宋" w:eastAsia="仿宋" w:cs="仿宋_GB2312"/>
          <w:b/>
          <w:kern w:val="0"/>
          <w:sz w:val="32"/>
          <w:szCs w:val="32"/>
        </w:rPr>
        <w:t>机关运行经费：</w:t>
      </w:r>
      <w:r>
        <w:rPr>
          <w:rFonts w:hint="eastAsia" w:ascii="仿宋" w:hAnsi="仿宋" w:eastAsia="仿宋" w:cs="仿宋_GB2312"/>
          <w:kern w:val="0"/>
          <w:sz w:val="32"/>
          <w:szCs w:val="32"/>
        </w:rPr>
        <w:t>为保障行政单位（含参照公务员法管理的事业单位）运行用于购买货物和服务的各项资金，包括办公及印刷费、邮电费、差旅费、会议费、公务接待费、福利费、日常维修费、专用材料费及一般设备购置费、水电费、物业管理费、公务用车运行维护费、其他交通费用等其他费用。</w:t>
      </w:r>
    </w:p>
    <w:p>
      <w:pPr>
        <w:rPr>
          <w:rFonts w:ascii="宋体" w:hAnsi="宋体" w:cs="宋体"/>
          <w:color w:val="FF0000"/>
          <w:kern w:val="0"/>
          <w:sz w:val="20"/>
          <w:szCs w:val="20"/>
        </w:rPr>
      </w:pPr>
      <w:r>
        <w:rPr>
          <w:rFonts w:hint="eastAsia" w:ascii="仿宋" w:hAnsi="仿宋" w:eastAsia="仿宋" w:cs="仿宋_GB2312"/>
          <w:kern w:val="0"/>
          <w:sz w:val="32"/>
          <w:szCs w:val="32"/>
        </w:rPr>
        <w:t xml:space="preserve">    (九）</w:t>
      </w:r>
      <w:r>
        <w:rPr>
          <w:rFonts w:hint="eastAsia" w:ascii="仿宋" w:hAnsi="仿宋" w:eastAsia="仿宋" w:cs="仿宋_GB2312"/>
          <w:b/>
          <w:kern w:val="0"/>
          <w:sz w:val="32"/>
          <w:szCs w:val="32"/>
        </w:rPr>
        <w:t>一般公共服务（类）纪检监察事务（款）行政运行（项）：</w:t>
      </w:r>
      <w:r>
        <w:rPr>
          <w:rFonts w:hint="eastAsia" w:ascii="仿宋" w:hAnsi="仿宋" w:eastAsia="仿宋" w:cs="仿宋_GB2312"/>
          <w:kern w:val="0"/>
          <w:sz w:val="32"/>
          <w:szCs w:val="32"/>
        </w:rPr>
        <w:t>指中国共产党蕉岭县纪律检查委员会行政单位及参照公务员法管理的事业单位用于保障机构正常运行、开展日常工作的基本支出。</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altName w:val="Arial Unicode MS"/>
    <w:panose1 w:val="02010601030101010101"/>
    <w:charset w:val="86"/>
    <w:family w:val="auto"/>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A5F2250"/>
    <w:multiLevelType w:val="singleLevel"/>
    <w:tmpl w:val="5A5F2250"/>
    <w:lvl w:ilvl="0" w:tentative="0">
      <w:start w:val="1"/>
      <w:numFmt w:val="chineseCounting"/>
      <w:suff w:val="nothing"/>
      <w:lvlText w:val="%1、"/>
      <w:lvlJc w:val="left"/>
    </w:lvl>
  </w:abstractNum>
  <w:abstractNum w:abstractNumId="1">
    <w:nsid w:val="5A5F2384"/>
    <w:multiLevelType w:val="singleLevel"/>
    <w:tmpl w:val="5A5F2384"/>
    <w:lvl w:ilvl="0" w:tentative="0">
      <w:start w:val="1"/>
      <w:numFmt w:val="chineseCounting"/>
      <w:suff w:val="nothing"/>
      <w:lvlText w:val="%1、"/>
      <w:lvlJc w:val="left"/>
    </w:lvl>
  </w:abstractNum>
  <w:abstractNum w:abstractNumId="2">
    <w:nsid w:val="5A5F2A51"/>
    <w:multiLevelType w:val="singleLevel"/>
    <w:tmpl w:val="5A5F2A51"/>
    <w:lvl w:ilvl="0" w:tentative="0">
      <w:start w:val="1"/>
      <w:numFmt w:val="chineseCounting"/>
      <w:suff w:val="nothing"/>
      <w:lvlText w:val="%1、"/>
      <w:lvlJc w:val="left"/>
    </w:lvl>
  </w:abstractNum>
  <w:abstractNum w:abstractNumId="3">
    <w:nsid w:val="5A5F2BFF"/>
    <w:multiLevelType w:val="singleLevel"/>
    <w:tmpl w:val="5A5F2BFF"/>
    <w:lvl w:ilvl="0" w:tentative="0">
      <w:start w:val="1"/>
      <w:numFmt w:val="chineseCounting"/>
      <w:suff w:val="nothing"/>
      <w:lvlText w:val="（%1）"/>
      <w:lvlJc w:val="left"/>
    </w:lvl>
  </w:abstractNum>
  <w:abstractNum w:abstractNumId="4">
    <w:nsid w:val="5A600927"/>
    <w:multiLevelType w:val="singleLevel"/>
    <w:tmpl w:val="5A600927"/>
    <w:lvl w:ilvl="0" w:tentative="0">
      <w:start w:val="1"/>
      <w:numFmt w:val="chineseCounting"/>
      <w:suff w:val="nothing"/>
      <w:lvlText w:val="%1、"/>
      <w:lvlJc w:val="left"/>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81D07C1"/>
    <w:rsid w:val="00083202"/>
    <w:rsid w:val="000D5F0C"/>
    <w:rsid w:val="0030162C"/>
    <w:rsid w:val="003F2166"/>
    <w:rsid w:val="00410E6A"/>
    <w:rsid w:val="004763EF"/>
    <w:rsid w:val="004A1C93"/>
    <w:rsid w:val="005D0965"/>
    <w:rsid w:val="005E0100"/>
    <w:rsid w:val="00744400"/>
    <w:rsid w:val="007B08DF"/>
    <w:rsid w:val="00A231EF"/>
    <w:rsid w:val="00E579F2"/>
    <w:rsid w:val="00F71F6C"/>
    <w:rsid w:val="081D07C1"/>
    <w:rsid w:val="1CA4382C"/>
    <w:rsid w:val="2F300128"/>
    <w:rsid w:val="658E0CA7"/>
    <w:rsid w:val="6D53502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nhideWhenUsed/>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uiPriority w:val="0"/>
    <w:pPr>
      <w:tabs>
        <w:tab w:val="center" w:pos="4153"/>
        <w:tab w:val="right" w:pos="8306"/>
      </w:tabs>
      <w:snapToGrid w:val="0"/>
      <w:jc w:val="left"/>
    </w:pPr>
    <w:rPr>
      <w:sz w:val="18"/>
      <w:szCs w:val="18"/>
    </w:rPr>
  </w:style>
  <w:style w:type="paragraph" w:styleId="3">
    <w:name w:val="header"/>
    <w:basedOn w:val="1"/>
    <w:link w:val="6"/>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4"/>
    <w:link w:val="3"/>
    <w:qFormat/>
    <w:uiPriority w:val="0"/>
    <w:rPr>
      <w:kern w:val="2"/>
      <w:sz w:val="18"/>
      <w:szCs w:val="18"/>
    </w:rPr>
  </w:style>
  <w:style w:type="character" w:customStyle="1" w:styleId="7">
    <w:name w:val="页脚 Char"/>
    <w:basedOn w:val="4"/>
    <w:link w:val="2"/>
    <w:uiPriority w:val="0"/>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es_1.0.0.1\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Pages>8</Pages>
  <Words>361</Words>
  <Characters>2060</Characters>
  <Lines>17</Lines>
  <Paragraphs>4</Paragraphs>
  <TotalTime>0</TotalTime>
  <ScaleCrop>false</ScaleCrop>
  <LinksUpToDate>false</LinksUpToDate>
  <CharactersWithSpaces>2417</CharactersWithSpaces>
  <Application>WPS Office_10.1.0.7224_F1E327BC-269C-435d-A152-05C5408002CA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2018-03-29T08:03:00Z</dcterms:created>
  <dc:creator>小捣</dc:creator>
  <cp:lastModifiedBy>小捣</cp:lastModifiedBy>
  <dcterms:modified xsi:type="dcterms:W3CDTF">2018-04-18T08:24:13Z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2052-10.1.0.7224</vt:lpwstr>
  </property>
</Properties>
</file>